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1200"/>
        <w:jc w:val="center"/>
      </w:pPr>
      <w:r>
        <w:rPr>
          <w:rFonts w:ascii="Arial" w:cs="Arial" w:eastAsia="Arial" w:hAnsi="Arial"/>
          <w:b/>
          <w:bCs/>
          <w:color w:val="0B3D91"/>
          <w:sz w:val="60"/>
          <w:szCs w:val="60"/>
        </w:rPr>
        <w:t xml:space="preserve">WEB LEANS</w:t>
      </w:r>
    </w:p>
    <w:p>
      <w:pPr>
        <w:spacing w:after="160" w:before="0"/>
        <w:jc w:val="center"/>
      </w:pPr>
      <w:r>
        <w:rPr>
          <w:rFonts w:ascii="Arial" w:cs="Arial" w:eastAsia="Arial" w:hAnsi="Arial"/>
          <w:b/>
          <w:bCs/>
          <w:color w:val="1A6BAF"/>
          <w:sz w:val="32"/>
          <w:szCs w:val="32"/>
        </w:rPr>
        <w:t xml:space="preserve">INFORME TÉCNICO</w:t>
      </w:r>
    </w:p>
    <w:p>
      <w:pPr>
        <w:spacing w:after="600" w:before="0"/>
        <w:jc w:val="center"/>
      </w:pPr>
      <w:r>
        <w:rPr>
          <w:rFonts w:ascii="Arial" w:cs="Arial" w:eastAsia="Arial" w:hAnsi="Arial"/>
          <w:i/>
          <w:iCs/>
          <w:color w:val="444444"/>
          <w:sz w:val="28"/>
          <w:szCs w:val="28"/>
        </w:rPr>
        <w:t xml:space="preserve">Sistema de Refrigeración Water Minimum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single" w:color="0B3D91" w:sz="8"/>
              <w:right w:val="none" w:color="FFFFFF" w:sz="0"/>
            </w:tcBorders>
          </w:tcPr>
          <w:p>
            <w:r>
              <w:t xml:space="preserve"/>
            </w:r>
          </w:p>
        </w:tc>
      </w:tr>
    </w:tbl>
    <w:p>
      <w:pPr>
        <w:spacing w:after="8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none" w:color="FFFFFF" w:sz="0"/>
              <w:left w:val="none" w:color="FFFFFF" w:sz="0"/>
              <w:bottom w:val="none" w:color="FFFFFF" w:sz="0"/>
              <w:right w:val="none" w:color="FFFFFF" w:sz="0"/>
            </w:tcBorders>
          </w:tcPr>
          <w:p>
            <w:r>
              <w:rPr>
                <w:rFonts w:ascii="Arial" w:cs="Arial" w:eastAsia="Arial" w:hAnsi="Arial"/>
                <w:b/>
                <w:bCs/>
                <w:color w:val="555555"/>
                <w:sz w:val="20"/>
                <w:szCs w:val="20"/>
              </w:rPr>
              <w:t xml:space="preserve">Clasificación:</w:t>
            </w:r>
          </w:p>
          <w:p>
            <w:r>
              <w:rPr>
                <w:rFonts w:ascii="Arial" w:cs="Arial" w:eastAsia="Arial" w:hAnsi="Arial"/>
                <w:sz w:val="20"/>
                <w:szCs w:val="20"/>
              </w:rPr>
              <w:t xml:space="preserve">Confidencial</w:t>
            </w:r>
          </w:p>
        </w:tc>
        <w:tc>
          <w:tcPr>
            <w:tcW w:type="dxa" w:w="4513"/>
            <w:tcBorders>
              <w:top w:val="none" w:color="FFFFFF" w:sz="0"/>
              <w:left w:val="none" w:color="FFFFFF" w:sz="0"/>
              <w:bottom w:val="none" w:color="FFFFFF" w:sz="0"/>
              <w:right w:val="none" w:color="FFFFFF" w:sz="0"/>
            </w:tcBorders>
          </w:tcPr>
          <w:p>
            <w:pPr>
              <w:jc w:val="right"/>
            </w:pPr>
            <w:r>
              <w:rPr>
                <w:rFonts w:ascii="Arial" w:cs="Arial" w:eastAsia="Arial" w:hAnsi="Arial"/>
                <w:b/>
                <w:bCs/>
                <w:color w:val="555555"/>
                <w:sz w:val="20"/>
                <w:szCs w:val="20"/>
              </w:rPr>
              <w:t xml:space="preserve">Fecha:</w:t>
            </w:r>
          </w:p>
          <w:p>
            <w:pPr>
              <w:jc w:val="right"/>
            </w:pPr>
            <w:r>
              <w:rPr>
                <w:rFonts w:ascii="Arial" w:cs="Arial" w:eastAsia="Arial" w:hAnsi="Arial"/>
                <w:sz w:val="20"/>
                <w:szCs w:val="20"/>
              </w:rPr>
              <w:t xml:space="preserve">Madrid, 2024</w:t>
            </w:r>
          </w:p>
        </w:tc>
      </w:tr>
    </w:tbl>
    <w:p>
      <w:r>
        <w:br w:type="page"/>
      </w:r>
    </w:p>
    <w:p>
      <w:pPr>
        <w:pStyle w:val="Heading1"/>
        <w:spacing w:after="160" w:before="320"/>
      </w:pPr>
      <w:r>
        <w:rPr>
          <w:rFonts w:ascii="Arial" w:cs="Arial" w:eastAsia="Arial" w:hAnsi="Arial"/>
          <w:b/>
          <w:bCs/>
          <w:color w:val="0B3D91"/>
          <w:sz w:val="32"/>
          <w:szCs w:val="32"/>
        </w:rPr>
        <w:t xml:space="preserve">1. Resumen Ejecutivo</w:t>
      </w:r>
    </w:p>
    <w:p>
      <w:pPr>
        <w:spacing w:after="120" w:before="80"/>
        <w:jc w:val="both"/>
      </w:pPr>
      <w:r>
        <w:rPr>
          <w:rFonts w:ascii="Arial" w:cs="Arial" w:eastAsia="Arial" w:hAnsi="Arial"/>
          <w:sz w:val="22"/>
          <w:szCs w:val="22"/>
        </w:rPr>
        <w:t xml:space="preserve">El presente informe describe el Sistema de Refrigeración Water Minimum, desarrollado íntegramente por el equipo de ingeniería de WEB LEANS como solución al elevado consumo hídrico de los centros de procesamiento de inteligencia artificial convencionales.</w:t>
      </w:r>
    </w:p>
    <w:p>
      <w:pPr>
        <w:spacing w:after="120" w:before="80"/>
        <w:jc w:val="both"/>
      </w:pPr>
      <w:r>
        <w:rPr>
          <w:rFonts w:ascii="Arial" w:cs="Arial" w:eastAsia="Arial" w:hAnsi="Arial"/>
          <w:sz w:val="22"/>
          <w:szCs w:val="22"/>
        </w:rPr>
        <w:t xml:space="preserve">A diferencia de los sistemas tradicionales de refrigeración por agua, nuestra tecnología permite operar los servidores de la IA de verificación de noticias utilizando únicamente un cuarto del agua consumida por soluciones equivalentes en el mercado, sin comprometer el rendimiento ni la estabilidad térmica de los equipos.</w:t>
      </w:r>
    </w:p>
    <w:p>
      <w:pPr>
        <w:spacing w:after="120" w:before="80"/>
        <w:jc w:val="both"/>
      </w:pPr>
      <w:r>
        <w:rPr>
          <w:rFonts w:ascii="Arial" w:cs="Arial" w:eastAsia="Arial" w:hAnsi="Arial"/>
          <w:sz w:val="22"/>
          <w:szCs w:val="22"/>
        </w:rPr>
        <w:t xml:space="preserve">Este avance sitúa a WEB LEANS como una empresa comprometida no solo con la veracidad informativa, sino también con la sostenibilidad medioambiental.</w:t>
      </w:r>
    </w:p>
    <w:p>
      <w:pPr>
        <w:spacing w:after="80" w:before="80"/>
      </w:pPr>
      <w:r>
        <w:t xml:space="preserve"/>
      </w:r>
    </w:p>
    <w:p>
      <w:pPr>
        <w:pStyle w:val="Heading1"/>
        <w:spacing w:after="160" w:before="320"/>
      </w:pPr>
      <w:r>
        <w:rPr>
          <w:rFonts w:ascii="Arial" w:cs="Arial" w:eastAsia="Arial" w:hAnsi="Arial"/>
          <w:b/>
          <w:bCs/>
          <w:color w:val="0B3D91"/>
          <w:sz w:val="32"/>
          <w:szCs w:val="32"/>
        </w:rPr>
        <w:t xml:space="preserve">2. Contexto y Problemática</w:t>
      </w:r>
    </w:p>
    <w:p>
      <w:pPr>
        <w:pStyle w:val="Heading2"/>
        <w:spacing w:after="120" w:before="240"/>
      </w:pPr>
      <w:r>
        <w:rPr>
          <w:rFonts w:ascii="Arial" w:cs="Arial" w:eastAsia="Arial" w:hAnsi="Arial"/>
          <w:b/>
          <w:bCs/>
          <w:color w:val="1A6BAF"/>
          <w:sz w:val="26"/>
          <w:szCs w:val="26"/>
        </w:rPr>
        <w:t xml:space="preserve">2.1 El problema del agua en la IA convencional</w:t>
      </w:r>
    </w:p>
    <w:p>
      <w:pPr>
        <w:spacing w:after="120" w:before="80"/>
        <w:jc w:val="both"/>
      </w:pPr>
      <w:r>
        <w:rPr>
          <w:rFonts w:ascii="Arial" w:cs="Arial" w:eastAsia="Arial" w:hAnsi="Arial"/>
          <w:sz w:val="22"/>
          <w:szCs w:val="22"/>
        </w:rPr>
        <w:t xml:space="preserve">Los grandes modelos de inteligencia artificial requieren infraestructuras de cómputo masivas que generan enormes cantidades de calor. Para mantener los servidores dentro de rangos operativos seguros, los centros de datos tradicionales emplean sistemas de refrigeración que consumen millones de litros de agua al año.</w:t>
      </w:r>
    </w:p>
    <w:p>
      <w:pPr>
        <w:spacing w:after="120" w:before="80"/>
        <w:jc w:val="both"/>
      </w:pPr>
      <w:r>
        <w:rPr>
          <w:rFonts w:ascii="Arial" w:cs="Arial" w:eastAsia="Arial" w:hAnsi="Arial"/>
          <w:sz w:val="22"/>
          <w:szCs w:val="22"/>
        </w:rPr>
        <w:t xml:space="preserve">Según estimaciones del sector, un centro de datos de tamaño medio puede consumir entre 1 y 5 millones de litros de agua diarios destinados exclusivamente a refrigeración. Esto representa un impacto medioambiental significativo, especialmente en regiones con escasez hídrica.</w:t>
      </w:r>
    </w:p>
    <w:p>
      <w:pPr>
        <w:spacing w:after="80" w:before="80"/>
      </w:pPr>
      <w:r>
        <w:t xml:space="preserve"/>
      </w:r>
    </w:p>
    <w:p>
      <w:pPr>
        <w:pStyle w:val="Heading2"/>
        <w:spacing w:after="120" w:before="240"/>
      </w:pPr>
      <w:r>
        <w:rPr>
          <w:rFonts w:ascii="Arial" w:cs="Arial" w:eastAsia="Arial" w:hAnsi="Arial"/>
          <w:b/>
          <w:bCs/>
          <w:color w:val="1A6BAF"/>
          <w:sz w:val="26"/>
          <w:szCs w:val="26"/>
        </w:rPr>
        <w:t xml:space="preserve">2.2 El reto para WEB LEANS</w:t>
      </w:r>
    </w:p>
    <w:p>
      <w:pPr>
        <w:spacing w:after="120" w:before="80"/>
        <w:jc w:val="both"/>
      </w:pPr>
      <w:r>
        <w:rPr>
          <w:rFonts w:ascii="Arial" w:cs="Arial" w:eastAsia="Arial" w:hAnsi="Arial"/>
          <w:sz w:val="22"/>
          <w:szCs w:val="22"/>
        </w:rPr>
        <w:t xml:space="preserve">WEB LEANS opera servidores de procesamiento continuo para el análisis y verificación en tiempo real de miles de páginas web y noticias. Este procesamiento constante exige una gestión térmica eficiente que no comprometa los valores medioambientales y de sostenibilidad que definen a la empresa.</w:t>
      </w:r>
    </w:p>
    <w:p>
      <w:pPr>
        <w:spacing w:after="80" w:before="80"/>
      </w:pPr>
      <w:r>
        <w:t xml:space="preserve"/>
      </w:r>
    </w:p>
    <w:p>
      <w:pPr>
        <w:pStyle w:val="Heading1"/>
        <w:spacing w:after="160" w:before="320"/>
      </w:pPr>
      <w:r>
        <w:rPr>
          <w:rFonts w:ascii="Arial" w:cs="Arial" w:eastAsia="Arial" w:hAnsi="Arial"/>
          <w:b/>
          <w:bCs/>
          <w:color w:val="0B3D91"/>
          <w:sz w:val="32"/>
          <w:szCs w:val="32"/>
        </w:rPr>
        <w:t xml:space="preserve">3. Descripción Técnica del Sistema</w:t>
      </w:r>
    </w:p>
    <w:p>
      <w:pPr>
        <w:pStyle w:val="Heading2"/>
        <w:spacing w:after="120" w:before="240"/>
      </w:pPr>
      <w:r>
        <w:rPr>
          <w:rFonts w:ascii="Arial" w:cs="Arial" w:eastAsia="Arial" w:hAnsi="Arial"/>
          <w:b/>
          <w:bCs/>
          <w:color w:val="1A6BAF"/>
          <w:sz w:val="26"/>
          <w:szCs w:val="26"/>
        </w:rPr>
        <w:t xml:space="preserve">3.1 Principio de funcionamiento</w:t>
      </w:r>
    </w:p>
    <w:p>
      <w:pPr>
        <w:spacing w:after="120" w:before="80"/>
        <w:jc w:val="both"/>
      </w:pPr>
      <w:r>
        <w:rPr>
          <w:rFonts w:ascii="Arial" w:cs="Arial" w:eastAsia="Arial" w:hAnsi="Arial"/>
          <w:sz w:val="22"/>
          <w:szCs w:val="22"/>
        </w:rPr>
        <w:t xml:space="preserve">El Sistema Water Minimum se basa en un ciclo cerrado de refrigeración por microcanalización de fluido dieléctrico combinado con disipación de calor residual mediante intercambiadores de fase. A diferencia de las torres de refrigeración abiertas, el sistema no evapora el agua sino que la recircula de forma continua.</w:t>
      </w:r>
    </w:p>
    <w:p>
      <w:pPr>
        <w:spacing w:after="120" w:before="80"/>
        <w:jc w:val="both"/>
      </w:pPr>
      <w:r>
        <w:rPr>
          <w:rFonts w:ascii="Arial" w:cs="Arial" w:eastAsia="Arial" w:hAnsi="Arial"/>
          <w:sz w:val="22"/>
          <w:szCs w:val="22"/>
        </w:rPr>
        <w:t xml:space="preserve">El proceso opera en tres etapas diferenciadas:</w:t>
      </w:r>
    </w:p>
    <w:p>
      <w:pPr>
        <w:pStyle w:val="ListParagraph"/>
        <w:numPr>
          <w:ilvl w:val="0"/>
          <w:numId w:val="2"/>
        </w:numPr>
        <w:spacing w:after="60" w:before="60"/>
      </w:pPr>
      <w:r>
        <w:rPr>
          <w:rFonts w:ascii="Arial" w:cs="Arial" w:eastAsia="Arial" w:hAnsi="Arial"/>
          <w:sz w:val="22"/>
          <w:szCs w:val="22"/>
        </w:rPr>
        <w:t xml:space="preserve">Captación térmica: El fluido recorre microcanales integrados directamente en las placas base de los servidores, absorbiendo el calor generado por los procesadores.</w:t>
      </w:r>
    </w:p>
    <w:p>
      <w:pPr>
        <w:pStyle w:val="ListParagraph"/>
        <w:numPr>
          <w:ilvl w:val="0"/>
          <w:numId w:val="2"/>
        </w:numPr>
        <w:spacing w:after="60" w:before="60"/>
      </w:pPr>
      <w:r>
        <w:rPr>
          <w:rFonts w:ascii="Arial" w:cs="Arial" w:eastAsia="Arial" w:hAnsi="Arial"/>
          <w:sz w:val="22"/>
          <w:szCs w:val="22"/>
        </w:rPr>
        <w:t xml:space="preserve">Intercambio de fase: El calor es transferido a un sistema de intercambiadores donde se disipa mediante radiación y convección natural, sin pérdida de agua por evaporación.</w:t>
      </w:r>
    </w:p>
    <w:p>
      <w:pPr>
        <w:pStyle w:val="ListParagraph"/>
        <w:numPr>
          <w:ilvl w:val="0"/>
          <w:numId w:val="2"/>
        </w:numPr>
        <w:spacing w:after="60" w:before="60"/>
      </w:pPr>
      <w:r>
        <w:rPr>
          <w:rFonts w:ascii="Arial" w:cs="Arial" w:eastAsia="Arial" w:hAnsi="Arial"/>
          <w:sz w:val="22"/>
          <w:szCs w:val="22"/>
        </w:rPr>
        <w:t xml:space="preserve">Recirculación filtrada: El fluido, ya enfriado, vuelve al circuito mediante bombas de bajo consumo energético. El agua utilizada en el sistema secundario de apoyo es filtrada y reutilizada indefinidamente.</w:t>
      </w:r>
    </w:p>
    <w:p>
      <w:pPr>
        <w:spacing w:after="80" w:before="80"/>
      </w:pPr>
      <w:r>
        <w:t xml:space="preserve"/>
      </w:r>
    </w:p>
    <w:p>
      <w:pPr>
        <w:pStyle w:val="Heading2"/>
        <w:spacing w:after="120" w:before="240"/>
      </w:pPr>
      <w:r>
        <w:rPr>
          <w:rFonts w:ascii="Arial" w:cs="Arial" w:eastAsia="Arial" w:hAnsi="Arial"/>
          <w:b/>
          <w:bCs/>
          <w:color w:val="1A6BAF"/>
          <w:sz w:val="26"/>
          <w:szCs w:val="26"/>
        </w:rPr>
        <w:t xml:space="preserve">3.2 Componentes principales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000"/>
        <w:gridCol w:w="5026"/>
      </w:tblGrid>
      <w:tr>
        <w:tc>
          <w:tcPr>
            <w:tcW w:type="dxa" w:w="4000"/>
            <w:tcBorders>
              <w:top w:val="single" w:color="CCCCCC" w:sz="1"/>
              <w:left w:val="single" w:color="CCCCCC" w:sz="1"/>
              <w:bottom w:val="single" w:color="CCCCCC" w:sz="1"/>
              <w:right w:val="single" w:color="CCCCCC" w:sz="1"/>
            </w:tcBorders>
            <w:shd w:fill="0B3D91" w:val="clear"/>
            <w:tcMar>
              <w:top w:type="dxa" w:w="120"/>
              <w:left w:type="dxa" w:w="160"/>
              <w:bottom w:type="dxa" w:w="120"/>
              <w:right w:type="dxa" w:w="160"/>
            </w:tcMar>
          </w:tcPr>
          <w:p>
            <w:r>
              <w:rPr>
                <w:rFonts w:ascii="Arial" w:cs="Arial" w:eastAsia="Arial" w:hAnsi="Arial"/>
                <w:b/>
                <w:bCs/>
                <w:color w:val="FFFFFF"/>
                <w:sz w:val="22"/>
                <w:szCs w:val="22"/>
              </w:rPr>
              <w:t xml:space="preserve">Componente</w:t>
            </w:r>
          </w:p>
        </w:tc>
        <w:tc>
          <w:tcPr>
            <w:tcW w:type="dxa" w:w="5026"/>
            <w:tcBorders>
              <w:top w:val="single" w:color="CCCCCC" w:sz="1"/>
              <w:left w:val="single" w:color="CCCCCC" w:sz="1"/>
              <w:bottom w:val="single" w:color="CCCCCC" w:sz="1"/>
              <w:right w:val="single" w:color="CCCCCC" w:sz="1"/>
            </w:tcBorders>
            <w:shd w:fill="0B3D91" w:val="clear"/>
            <w:tcMar>
              <w:top w:type="dxa" w:w="120"/>
              <w:left w:type="dxa" w:w="160"/>
              <w:bottom w:type="dxa" w:w="120"/>
              <w:right w:type="dxa" w:w="160"/>
            </w:tcMar>
          </w:tcPr>
          <w:p>
            <w:r>
              <w:rPr>
                <w:rFonts w:ascii="Arial" w:cs="Arial" w:eastAsia="Arial" w:hAnsi="Arial"/>
                <w:b/>
                <w:bCs/>
                <w:color w:val="FFFFFF"/>
                <w:sz w:val="22"/>
                <w:szCs w:val="22"/>
              </w:rPr>
              <w:t xml:space="preserve">Función</w:t>
            </w:r>
          </w:p>
        </w:tc>
      </w:tr>
      <w:tr>
        <w:tc>
          <w:tcPr>
            <w:tcW w:type="dxa" w:w="400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b/>
                <w:bCs/>
                <w:sz w:val="20"/>
                <w:szCs w:val="20"/>
              </w:rPr>
              <w:t xml:space="preserve">Microcanales de silicio</w:t>
            </w:r>
          </w:p>
        </w:tc>
        <w:tc>
          <w:tcPr>
            <w:tcW w:type="dxa" w:w="536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sz w:val="20"/>
                <w:szCs w:val="20"/>
              </w:rPr>
              <w:t xml:space="preserve">Absorción del calor directamente en el chip</w:t>
            </w:r>
          </w:p>
        </w:tc>
      </w:tr>
      <w:tr>
        <w:tc>
          <w:tcPr>
            <w:tcW w:type="dxa" w:w="4000"/>
            <w:tcBorders>
              <w:top w:val="single" w:color="CCCCCC" w:sz="1"/>
              <w:left w:val="single" w:color="CCCCCC" w:sz="1"/>
              <w:bottom w:val="single" w:color="CCCCCC" w:sz="1"/>
              <w:right w:val="single" w:color="CCCCCC" w:sz="1"/>
            </w:tcBorders>
            <w:shd w:fill="FFFFFF" w:val="clear"/>
            <w:tcMar>
              <w:top w:type="dxa" w:w="100"/>
              <w:left w:type="dxa" w:w="160"/>
              <w:bottom w:type="dxa" w:w="100"/>
              <w:right w:type="dxa" w:w="160"/>
            </w:tcMar>
          </w:tcPr>
          <w:p>
            <w:r>
              <w:rPr>
                <w:rFonts w:ascii="Arial" w:cs="Arial" w:eastAsia="Arial" w:hAnsi="Arial"/>
                <w:b/>
                <w:bCs/>
                <w:sz w:val="20"/>
                <w:szCs w:val="20"/>
              </w:rPr>
              <w:t xml:space="preserve">Fluido dieléctrico WL-7</w:t>
            </w:r>
          </w:p>
        </w:tc>
        <w:tc>
          <w:tcPr>
            <w:tcW w:type="dxa" w:w="5360"/>
            <w:tcBorders>
              <w:top w:val="single" w:color="CCCCCC" w:sz="1"/>
              <w:left w:val="single" w:color="CCCCCC" w:sz="1"/>
              <w:bottom w:val="single" w:color="CCCCCC" w:sz="1"/>
              <w:right w:val="single" w:color="CCCCCC" w:sz="1"/>
            </w:tcBorders>
            <w:shd w:fill="FFFFFF" w:val="clear"/>
            <w:tcMar>
              <w:top w:type="dxa" w:w="100"/>
              <w:left w:type="dxa" w:w="160"/>
              <w:bottom w:type="dxa" w:w="100"/>
              <w:right w:type="dxa" w:w="160"/>
            </w:tcMar>
          </w:tcPr>
          <w:p>
            <w:r>
              <w:rPr>
                <w:rFonts w:ascii="Arial" w:cs="Arial" w:eastAsia="Arial" w:hAnsi="Arial"/>
                <w:sz w:val="20"/>
                <w:szCs w:val="20"/>
              </w:rPr>
              <w:t xml:space="preserve">Refrigerante no conductor, no corrosivo y reutilizable</w:t>
            </w:r>
          </w:p>
        </w:tc>
      </w:tr>
      <w:tr>
        <w:tc>
          <w:tcPr>
            <w:tcW w:type="dxa" w:w="400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b/>
                <w:bCs/>
                <w:sz w:val="20"/>
                <w:szCs w:val="20"/>
              </w:rPr>
              <w:t xml:space="preserve">Intercambiador de fase</w:t>
            </w:r>
          </w:p>
        </w:tc>
        <w:tc>
          <w:tcPr>
            <w:tcW w:type="dxa" w:w="536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sz w:val="20"/>
                <w:szCs w:val="20"/>
              </w:rPr>
              <w:t xml:space="preserve">Disipación del calor sin pérdida de agua</w:t>
            </w:r>
          </w:p>
        </w:tc>
      </w:tr>
      <w:tr>
        <w:tc>
          <w:tcPr>
            <w:tcW w:type="dxa" w:w="4000"/>
            <w:tcBorders>
              <w:top w:val="single" w:color="CCCCCC" w:sz="1"/>
              <w:left w:val="single" w:color="CCCCCC" w:sz="1"/>
              <w:bottom w:val="single" w:color="CCCCCC" w:sz="1"/>
              <w:right w:val="single" w:color="CCCCCC" w:sz="1"/>
            </w:tcBorders>
            <w:shd w:fill="FFFFFF" w:val="clear"/>
            <w:tcMar>
              <w:top w:type="dxa" w:w="100"/>
              <w:left w:type="dxa" w:w="160"/>
              <w:bottom w:type="dxa" w:w="100"/>
              <w:right w:type="dxa" w:w="160"/>
            </w:tcMar>
          </w:tcPr>
          <w:p>
            <w:r>
              <w:rPr>
                <w:rFonts w:ascii="Arial" w:cs="Arial" w:eastAsia="Arial" w:hAnsi="Arial"/>
                <w:b/>
                <w:bCs/>
                <w:sz w:val="20"/>
                <w:szCs w:val="20"/>
              </w:rPr>
              <w:t xml:space="preserve">Sistema de filtración cerrada</w:t>
            </w:r>
          </w:p>
        </w:tc>
        <w:tc>
          <w:tcPr>
            <w:tcW w:type="dxa" w:w="5360"/>
            <w:tcBorders>
              <w:top w:val="single" w:color="CCCCCC" w:sz="1"/>
              <w:left w:val="single" w:color="CCCCCC" w:sz="1"/>
              <w:bottom w:val="single" w:color="CCCCCC" w:sz="1"/>
              <w:right w:val="single" w:color="CCCCCC" w:sz="1"/>
            </w:tcBorders>
            <w:shd w:fill="FFFFFF" w:val="clear"/>
            <w:tcMar>
              <w:top w:type="dxa" w:w="100"/>
              <w:left w:type="dxa" w:w="160"/>
              <w:bottom w:type="dxa" w:w="100"/>
              <w:right w:type="dxa" w:w="160"/>
            </w:tcMar>
          </w:tcPr>
          <w:p>
            <w:r>
              <w:rPr>
                <w:rFonts w:ascii="Arial" w:cs="Arial" w:eastAsia="Arial" w:hAnsi="Arial"/>
                <w:sz w:val="20"/>
                <w:szCs w:val="20"/>
              </w:rPr>
              <w:t xml:space="preserve">Purificación y recirculación del agua de apoyo</w:t>
            </w:r>
          </w:p>
        </w:tc>
      </w:tr>
      <w:tr>
        <w:tc>
          <w:tcPr>
            <w:tcW w:type="dxa" w:w="400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b/>
                <w:bCs/>
                <w:sz w:val="20"/>
                <w:szCs w:val="20"/>
              </w:rPr>
              <w:t xml:space="preserve">Bombas magnéticas EC</w:t>
            </w:r>
          </w:p>
        </w:tc>
        <w:tc>
          <w:tcPr>
            <w:tcW w:type="dxa" w:w="536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sz w:val="20"/>
                <w:szCs w:val="20"/>
              </w:rPr>
              <w:t xml:space="preserve">Circulación de fluido con mínimo consumo eléctrico</w:t>
            </w:r>
          </w:p>
        </w:tc>
      </w:tr>
    </w:tbl>
    <w:p>
      <w:pPr>
        <w:spacing w:after="80" w:before="80"/>
      </w:pPr>
      <w:r>
        <w:t xml:space="preserve"/>
      </w:r>
    </w:p>
    <w:p>
      <w:pPr>
        <w:pStyle w:val="Heading1"/>
        <w:spacing w:after="160" w:before="320"/>
      </w:pPr>
      <w:r>
        <w:rPr>
          <w:rFonts w:ascii="Arial" w:cs="Arial" w:eastAsia="Arial" w:hAnsi="Arial"/>
          <w:b/>
          <w:bCs/>
          <w:color w:val="0B3D91"/>
          <w:sz w:val="32"/>
          <w:szCs w:val="32"/>
        </w:rPr>
        <w:t xml:space="preserve">4. Comparativa con Sistemas Convencionales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26"/>
        <w:gridCol w:w="3000"/>
        <w:gridCol w:w="3000"/>
      </w:tblGrid>
      <w:tr>
        <w:tc>
          <w:tcPr>
            <w:tcW w:type="dxa" w:w="3026"/>
            <w:tcBorders>
              <w:top w:val="single" w:color="CCCCCC" w:sz="1"/>
              <w:left w:val="single" w:color="CCCCCC" w:sz="1"/>
              <w:bottom w:val="single" w:color="CCCCCC" w:sz="1"/>
              <w:right w:val="single" w:color="CCCCCC" w:sz="1"/>
            </w:tcBorders>
            <w:shd w:fill="0B3D91" w:val="clear"/>
            <w:tcMar>
              <w:top w:type="dxa" w:w="120"/>
              <w:left w:type="dxa" w:w="160"/>
              <w:bottom w:type="dxa" w:w="120"/>
              <w:right w:type="dxa" w:w="160"/>
            </w:tcMar>
          </w:tcPr>
          <w:p>
            <w:r>
              <w:rPr>
                <w:rFonts w:ascii="Arial" w:cs="Arial" w:eastAsia="Arial" w:hAnsi="Arial"/>
                <w:b/>
                <w:bCs/>
                <w:color w:val="FFFFFF"/>
                <w:sz w:val="22"/>
                <w:szCs w:val="22"/>
              </w:rPr>
              <w:t xml:space="preserve">Parámetro</w:t>
            </w:r>
          </w:p>
        </w:tc>
        <w:tc>
          <w:tcPr>
            <w:tcW w:type="dxa" w:w="3000"/>
            <w:tcBorders>
              <w:top w:val="single" w:color="CCCCCC" w:sz="1"/>
              <w:left w:val="single" w:color="CCCCCC" w:sz="1"/>
              <w:bottom w:val="single" w:color="CCCCCC" w:sz="1"/>
              <w:right w:val="single" w:color="CCCCCC" w:sz="1"/>
            </w:tcBorders>
            <w:shd w:fill="0B3D91" w:val="clear"/>
            <w:tcMar>
              <w:top w:type="dxa" w:w="120"/>
              <w:left w:type="dxa" w:w="160"/>
              <w:bottom w:type="dxa" w:w="120"/>
              <w:right w:type="dxa" w:w="160"/>
            </w:tcMar>
          </w:tcPr>
          <w:p>
            <w:r>
              <w:rPr>
                <w:rFonts w:ascii="Arial" w:cs="Arial" w:eastAsia="Arial" w:hAnsi="Arial"/>
                <w:b/>
                <w:bCs/>
                <w:color w:val="FFFFFF"/>
                <w:sz w:val="22"/>
                <w:szCs w:val="22"/>
              </w:rPr>
              <w:t xml:space="preserve">Refrigeración Convencional</w:t>
            </w:r>
          </w:p>
        </w:tc>
        <w:tc>
          <w:tcPr>
            <w:tcW w:type="dxa" w:w="3000"/>
            <w:tcBorders>
              <w:top w:val="single" w:color="CCCCCC" w:sz="1"/>
              <w:left w:val="single" w:color="CCCCCC" w:sz="1"/>
              <w:bottom w:val="single" w:color="CCCCCC" w:sz="1"/>
              <w:right w:val="single" w:color="CCCCCC" w:sz="1"/>
            </w:tcBorders>
            <w:shd w:fill="1A6BAF" w:val="clear"/>
            <w:tcMar>
              <w:top w:type="dxa" w:w="120"/>
              <w:left w:type="dxa" w:w="160"/>
              <w:bottom w:type="dxa" w:w="120"/>
              <w:right w:type="dxa" w:w="160"/>
            </w:tcMar>
          </w:tcPr>
          <w:p>
            <w:r>
              <w:rPr>
                <w:rFonts w:ascii="Arial" w:cs="Arial" w:eastAsia="Arial" w:hAnsi="Arial"/>
                <w:b/>
                <w:bCs/>
                <w:color w:val="FFFFFF"/>
                <w:sz w:val="22"/>
                <w:szCs w:val="22"/>
              </w:rPr>
              <w:t xml:space="preserve">Water Minimum (WEB LEANS)</w:t>
            </w:r>
          </w:p>
        </w:tc>
      </w:tr>
      <w:tr>
        <w:tc>
          <w:tcPr>
            <w:tcW w:type="dxa" w:w="3026"/>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b/>
                <w:bCs/>
                <w:sz w:val="20"/>
                <w:szCs w:val="20"/>
              </w:rPr>
              <w:t xml:space="preserve">Consumo de agua diario</w:t>
            </w:r>
          </w:p>
        </w:tc>
        <w:tc>
          <w:tcPr>
            <w:tcW w:type="dxa" w:w="300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sz w:val="20"/>
                <w:szCs w:val="20"/>
              </w:rPr>
              <w:t xml:space="preserve">1.000.000 – 5.000.000 L</w:t>
            </w:r>
          </w:p>
        </w:tc>
        <w:tc>
          <w:tcPr>
            <w:tcW w:type="dxa" w:w="3000"/>
            <w:tcBorders>
              <w:top w:val="single" w:color="CCCCCC" w:sz="1"/>
              <w:left w:val="single" w:color="CCCCCC" w:sz="1"/>
              <w:bottom w:val="single" w:color="CCCCCC" w:sz="1"/>
              <w:right w:val="single" w:color="CCCCCC" w:sz="1"/>
            </w:tcBorders>
            <w:shd w:fill="D6EAF8" w:val="clear"/>
            <w:tcMar>
              <w:top w:type="dxa" w:w="100"/>
              <w:left w:type="dxa" w:w="160"/>
              <w:bottom w:type="dxa" w:w="100"/>
              <w:right w:type="dxa" w:w="160"/>
            </w:tcMar>
          </w:tcPr>
          <w:p>
            <w:r>
              <w:rPr>
                <w:rFonts w:ascii="Arial" w:cs="Arial" w:eastAsia="Arial" w:hAnsi="Arial"/>
                <w:b/>
                <w:bCs/>
                <w:color w:val="0B3D91"/>
                <w:sz w:val="20"/>
                <w:szCs w:val="20"/>
              </w:rPr>
              <w:t xml:space="preserve">250.000 – 1.250.000 L</w:t>
            </w:r>
          </w:p>
        </w:tc>
      </w:tr>
      <w:tr>
        <w:tc>
          <w:tcPr>
            <w:tcW w:type="dxa" w:w="3026"/>
            <w:tcBorders>
              <w:top w:val="single" w:color="CCCCCC" w:sz="1"/>
              <w:left w:val="single" w:color="CCCCCC" w:sz="1"/>
              <w:bottom w:val="single" w:color="CCCCCC" w:sz="1"/>
              <w:right w:val="single" w:color="CCCCCC" w:sz="1"/>
            </w:tcBorders>
            <w:tcMar>
              <w:top w:type="dxa" w:w="100"/>
              <w:left w:type="dxa" w:w="160"/>
              <w:bottom w:type="dxa" w:w="100"/>
              <w:right w:type="dxa" w:w="160"/>
            </w:tcMar>
          </w:tcPr>
          <w:p>
            <w:r>
              <w:rPr>
                <w:rFonts w:ascii="Arial" w:cs="Arial" w:eastAsia="Arial" w:hAnsi="Arial"/>
                <w:b/>
                <w:bCs/>
                <w:sz w:val="20"/>
                <w:szCs w:val="20"/>
              </w:rPr>
              <w:t xml:space="preserve">Pérdida por evaporación</w:t>
            </w:r>
          </w:p>
        </w:tc>
        <w:tc>
          <w:tcPr>
            <w:tcW w:type="dxa" w:w="3000"/>
            <w:tcBorders>
              <w:top w:val="single" w:color="CCCCCC" w:sz="1"/>
              <w:left w:val="single" w:color="CCCCCC" w:sz="1"/>
              <w:bottom w:val="single" w:color="CCCCCC" w:sz="1"/>
              <w:right w:val="single" w:color="CCCCCC" w:sz="1"/>
            </w:tcBorders>
            <w:tcMar>
              <w:top w:type="dxa" w:w="100"/>
              <w:left w:type="dxa" w:w="160"/>
              <w:bottom w:type="dxa" w:w="100"/>
              <w:right w:type="dxa" w:w="160"/>
            </w:tcMar>
          </w:tcPr>
          <w:p>
            <w:r>
              <w:rPr>
                <w:rFonts w:ascii="Arial" w:cs="Arial" w:eastAsia="Arial" w:hAnsi="Arial"/>
                <w:sz w:val="20"/>
                <w:szCs w:val="20"/>
              </w:rPr>
              <w:t xml:space="preserve">Alta (sistema abierto)</w:t>
            </w:r>
          </w:p>
        </w:tc>
        <w:tc>
          <w:tcPr>
            <w:tcW w:type="dxa" w:w="3000"/>
            <w:tcBorders>
              <w:top w:val="single" w:color="CCCCCC" w:sz="1"/>
              <w:left w:val="single" w:color="CCCCCC" w:sz="1"/>
              <w:bottom w:val="single" w:color="CCCCCC" w:sz="1"/>
              <w:right w:val="single" w:color="CCCCCC" w:sz="1"/>
            </w:tcBorders>
            <w:shd w:fill="D6EAF8" w:val="clear"/>
            <w:tcMar>
              <w:top w:type="dxa" w:w="100"/>
              <w:left w:type="dxa" w:w="160"/>
              <w:bottom w:type="dxa" w:w="100"/>
              <w:right w:type="dxa" w:w="160"/>
            </w:tcMar>
          </w:tcPr>
          <w:p>
            <w:r>
              <w:rPr>
                <w:rFonts w:ascii="Arial" w:cs="Arial" w:eastAsia="Arial" w:hAnsi="Arial"/>
                <w:b/>
                <w:bCs/>
                <w:color w:val="0B3D91"/>
                <w:sz w:val="20"/>
                <w:szCs w:val="20"/>
              </w:rPr>
              <w:t xml:space="preserve">Nula (circuito cerrado)</w:t>
            </w:r>
          </w:p>
        </w:tc>
      </w:tr>
      <w:tr>
        <w:tc>
          <w:tcPr>
            <w:tcW w:type="dxa" w:w="3026"/>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b/>
                <w:bCs/>
                <w:sz w:val="20"/>
                <w:szCs w:val="20"/>
              </w:rPr>
              <w:t xml:space="preserve">Temperatura operativa</w:t>
            </w:r>
          </w:p>
        </w:tc>
        <w:tc>
          <w:tcPr>
            <w:tcW w:type="dxa" w:w="300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sz w:val="20"/>
                <w:szCs w:val="20"/>
              </w:rPr>
              <w:t xml:space="preserve">18 – 27 °C</w:t>
            </w:r>
          </w:p>
        </w:tc>
        <w:tc>
          <w:tcPr>
            <w:tcW w:type="dxa" w:w="3000"/>
            <w:tcBorders>
              <w:top w:val="single" w:color="CCCCCC" w:sz="1"/>
              <w:left w:val="single" w:color="CCCCCC" w:sz="1"/>
              <w:bottom w:val="single" w:color="CCCCCC" w:sz="1"/>
              <w:right w:val="single" w:color="CCCCCC" w:sz="1"/>
            </w:tcBorders>
            <w:shd w:fill="D6EAF8" w:val="clear"/>
            <w:tcMar>
              <w:top w:type="dxa" w:w="100"/>
              <w:left w:type="dxa" w:w="160"/>
              <w:bottom w:type="dxa" w:w="100"/>
              <w:right w:type="dxa" w:w="160"/>
            </w:tcMar>
          </w:tcPr>
          <w:p>
            <w:r>
              <w:rPr>
                <w:rFonts w:ascii="Arial" w:cs="Arial" w:eastAsia="Arial" w:hAnsi="Arial"/>
                <w:b/>
                <w:bCs/>
                <w:color w:val="0B3D91"/>
                <w:sz w:val="20"/>
                <w:szCs w:val="20"/>
              </w:rPr>
              <w:t xml:space="preserve">15 – 22 °C (mayor eficiencia)</w:t>
            </w:r>
          </w:p>
        </w:tc>
      </w:tr>
      <w:tr>
        <w:tc>
          <w:tcPr>
            <w:tcW w:type="dxa" w:w="3026"/>
            <w:tcBorders>
              <w:top w:val="single" w:color="CCCCCC" w:sz="1"/>
              <w:left w:val="single" w:color="CCCCCC" w:sz="1"/>
              <w:bottom w:val="single" w:color="CCCCCC" w:sz="1"/>
              <w:right w:val="single" w:color="CCCCCC" w:sz="1"/>
            </w:tcBorders>
            <w:tcMar>
              <w:top w:type="dxa" w:w="100"/>
              <w:left w:type="dxa" w:w="160"/>
              <w:bottom w:type="dxa" w:w="100"/>
              <w:right w:type="dxa" w:w="160"/>
            </w:tcMar>
          </w:tcPr>
          <w:p>
            <w:r>
              <w:rPr>
                <w:rFonts w:ascii="Arial" w:cs="Arial" w:eastAsia="Arial" w:hAnsi="Arial"/>
                <w:b/>
                <w:bCs/>
                <w:sz w:val="20"/>
                <w:szCs w:val="20"/>
              </w:rPr>
              <w:t xml:space="preserve">Impacto medioambiental</w:t>
            </w:r>
          </w:p>
        </w:tc>
        <w:tc>
          <w:tcPr>
            <w:tcW w:type="dxa" w:w="3000"/>
            <w:tcBorders>
              <w:top w:val="single" w:color="CCCCCC" w:sz="1"/>
              <w:left w:val="single" w:color="CCCCCC" w:sz="1"/>
              <w:bottom w:val="single" w:color="CCCCCC" w:sz="1"/>
              <w:right w:val="single" w:color="CCCCCC" w:sz="1"/>
            </w:tcBorders>
            <w:tcMar>
              <w:top w:type="dxa" w:w="100"/>
              <w:left w:type="dxa" w:w="160"/>
              <w:bottom w:type="dxa" w:w="100"/>
              <w:right w:type="dxa" w:w="160"/>
            </w:tcMar>
          </w:tcPr>
          <w:p>
            <w:r>
              <w:rPr>
                <w:rFonts w:ascii="Arial" w:cs="Arial" w:eastAsia="Arial" w:hAnsi="Arial"/>
                <w:sz w:val="20"/>
                <w:szCs w:val="20"/>
              </w:rPr>
              <w:t xml:space="preserve">Alto</w:t>
            </w:r>
          </w:p>
        </w:tc>
        <w:tc>
          <w:tcPr>
            <w:tcW w:type="dxa" w:w="3000"/>
            <w:tcBorders>
              <w:top w:val="single" w:color="CCCCCC" w:sz="1"/>
              <w:left w:val="single" w:color="CCCCCC" w:sz="1"/>
              <w:bottom w:val="single" w:color="CCCCCC" w:sz="1"/>
              <w:right w:val="single" w:color="CCCCCC" w:sz="1"/>
            </w:tcBorders>
            <w:shd w:fill="D6EAF8" w:val="clear"/>
            <w:tcMar>
              <w:top w:type="dxa" w:w="100"/>
              <w:left w:type="dxa" w:w="160"/>
              <w:bottom w:type="dxa" w:w="100"/>
              <w:right w:type="dxa" w:w="160"/>
            </w:tcMar>
          </w:tcPr>
          <w:p>
            <w:r>
              <w:rPr>
                <w:rFonts w:ascii="Arial" w:cs="Arial" w:eastAsia="Arial" w:hAnsi="Arial"/>
                <w:b/>
                <w:bCs/>
                <w:color w:val="0B3D91"/>
                <w:sz w:val="20"/>
                <w:szCs w:val="20"/>
              </w:rPr>
              <w:t xml:space="preserve">Muy reducido</w:t>
            </w:r>
          </w:p>
        </w:tc>
      </w:tr>
    </w:tbl>
    <w:p>
      <w:pPr>
        <w:spacing w:after="80" w:before="80"/>
      </w:pPr>
      <w:r>
        <w:t xml:space="preserve"/>
      </w:r>
    </w:p>
    <w:p>
      <w:pPr>
        <w:pStyle w:val="Heading1"/>
        <w:spacing w:after="160" w:before="320"/>
      </w:pPr>
      <w:r>
        <w:rPr>
          <w:rFonts w:ascii="Arial" w:cs="Arial" w:eastAsia="Arial" w:hAnsi="Arial"/>
          <w:b/>
          <w:bCs/>
          <w:color w:val="0B3D91"/>
          <w:sz w:val="32"/>
          <w:szCs w:val="32"/>
        </w:rPr>
        <w:t xml:space="preserve">5. Beneficios del Sistema</w:t>
      </w:r>
    </w:p>
    <w:p>
      <w:pPr>
        <w:pStyle w:val="Heading2"/>
        <w:spacing w:after="120" w:before="240"/>
      </w:pPr>
      <w:r>
        <w:rPr>
          <w:rFonts w:ascii="Arial" w:cs="Arial" w:eastAsia="Arial" w:hAnsi="Arial"/>
          <w:b/>
          <w:bCs/>
          <w:color w:val="1A6BAF"/>
          <w:sz w:val="26"/>
          <w:szCs w:val="26"/>
        </w:rPr>
        <w:t xml:space="preserve">5.1 Medioambientales</w:t>
      </w:r>
    </w:p>
    <w:p>
      <w:pPr>
        <w:pStyle w:val="ListParagraph"/>
        <w:numPr>
          <w:ilvl w:val="0"/>
          <w:numId w:val="2"/>
        </w:numPr>
        <w:spacing w:after="60" w:before="60"/>
      </w:pPr>
      <w:r>
        <w:rPr>
          <w:rFonts w:ascii="Arial" w:cs="Arial" w:eastAsia="Arial" w:hAnsi="Arial"/>
          <w:sz w:val="22"/>
          <w:szCs w:val="22"/>
        </w:rPr>
        <w:t xml:space="preserve">Reducción del 75% en el consumo hídrico respecto a sistemas convencionales de refrigeración para IA.</w:t>
      </w:r>
    </w:p>
    <w:p>
      <w:pPr>
        <w:pStyle w:val="ListParagraph"/>
        <w:numPr>
          <w:ilvl w:val="0"/>
          <w:numId w:val="2"/>
        </w:numPr>
        <w:spacing w:after="60" w:before="60"/>
      </w:pPr>
      <w:r>
        <w:rPr>
          <w:rFonts w:ascii="Arial" w:cs="Arial" w:eastAsia="Arial" w:hAnsi="Arial"/>
          <w:sz w:val="22"/>
          <w:szCs w:val="22"/>
        </w:rPr>
        <w:t xml:space="preserve">Eliminación de vertidos térmicos a cauces naturales gracias al ciclo cerrado.</w:t>
      </w:r>
    </w:p>
    <w:p>
      <w:pPr>
        <w:pStyle w:val="ListParagraph"/>
        <w:numPr>
          <w:ilvl w:val="0"/>
          <w:numId w:val="2"/>
        </w:numPr>
        <w:spacing w:after="60" w:before="60"/>
      </w:pPr>
      <w:r>
        <w:rPr>
          <w:rFonts w:ascii="Arial" w:cs="Arial" w:eastAsia="Arial" w:hAnsi="Arial"/>
          <w:sz w:val="22"/>
          <w:szCs w:val="22"/>
        </w:rPr>
        <w:t xml:space="preserve">Reducción de la huella de carbono asociada al bombeo y tratamiento de agua.</w:t>
      </w:r>
    </w:p>
    <w:p>
      <w:pPr>
        <w:pStyle w:val="ListParagraph"/>
        <w:numPr>
          <w:ilvl w:val="0"/>
          <w:numId w:val="2"/>
        </w:numPr>
        <w:spacing w:after="60" w:before="60"/>
      </w:pPr>
      <w:r>
        <w:rPr>
          <w:rFonts w:ascii="Arial" w:cs="Arial" w:eastAsia="Arial" w:hAnsi="Arial"/>
          <w:sz w:val="22"/>
          <w:szCs w:val="22"/>
        </w:rPr>
        <w:t xml:space="preserve">Compatible con certificaciones ISO 14001 de gestión medioambiental.</w:t>
      </w:r>
    </w:p>
    <w:p>
      <w:pPr>
        <w:spacing w:after="80" w:before="80"/>
      </w:pPr>
      <w:r>
        <w:t xml:space="preserve"/>
      </w:r>
    </w:p>
    <w:p>
      <w:pPr>
        <w:pStyle w:val="Heading2"/>
        <w:spacing w:after="120" w:before="240"/>
      </w:pPr>
      <w:r>
        <w:rPr>
          <w:rFonts w:ascii="Arial" w:cs="Arial" w:eastAsia="Arial" w:hAnsi="Arial"/>
          <w:b/>
          <w:bCs/>
          <w:color w:val="1A6BAF"/>
          <w:sz w:val="26"/>
          <w:szCs w:val="26"/>
        </w:rPr>
        <w:t xml:space="preserve">5.2 Operativos</w:t>
      </w:r>
    </w:p>
    <w:p>
      <w:pPr>
        <w:pStyle w:val="ListParagraph"/>
        <w:numPr>
          <w:ilvl w:val="0"/>
          <w:numId w:val="2"/>
        </w:numPr>
        <w:spacing w:after="60" w:before="60"/>
      </w:pPr>
      <w:r>
        <w:rPr>
          <w:rFonts w:ascii="Arial" w:cs="Arial" w:eastAsia="Arial" w:hAnsi="Arial"/>
          <w:sz w:val="22"/>
          <w:szCs w:val="22"/>
        </w:rPr>
        <w:t xml:space="preserve">Mayor estabilidad térmica de los procesadores, lo que se traduce en un 8% de mejora en el rendimiento computacional.</w:t>
      </w:r>
    </w:p>
    <w:p>
      <w:pPr>
        <w:pStyle w:val="ListParagraph"/>
        <w:numPr>
          <w:ilvl w:val="0"/>
          <w:numId w:val="2"/>
        </w:numPr>
        <w:spacing w:after="60" w:before="60"/>
      </w:pPr>
      <w:r>
        <w:rPr>
          <w:rFonts w:ascii="Arial" w:cs="Arial" w:eastAsia="Arial" w:hAnsi="Arial"/>
          <w:sz w:val="22"/>
          <w:szCs w:val="22"/>
        </w:rPr>
        <w:t xml:space="preserve">Reducción de tiempos de inactividad por sobrecalentamiento.</w:t>
      </w:r>
    </w:p>
    <w:p>
      <w:pPr>
        <w:pStyle w:val="ListParagraph"/>
        <w:numPr>
          <w:ilvl w:val="0"/>
          <w:numId w:val="2"/>
        </w:numPr>
        <w:spacing w:after="60" w:before="60"/>
      </w:pPr>
      <w:r>
        <w:rPr>
          <w:rFonts w:ascii="Arial" w:cs="Arial" w:eastAsia="Arial" w:hAnsi="Arial"/>
          <w:sz w:val="22"/>
          <w:szCs w:val="22"/>
        </w:rPr>
        <w:t xml:space="preserve">Menor desgaste de componentes gracias a temperaturas de operación más estables.</w:t>
      </w:r>
    </w:p>
    <w:p>
      <w:pPr>
        <w:pStyle w:val="ListParagraph"/>
        <w:numPr>
          <w:ilvl w:val="0"/>
          <w:numId w:val="2"/>
        </w:numPr>
        <w:spacing w:after="60" w:before="60"/>
      </w:pPr>
      <w:r>
        <w:rPr>
          <w:rFonts w:ascii="Arial" w:cs="Arial" w:eastAsia="Arial" w:hAnsi="Arial"/>
          <w:sz w:val="22"/>
          <w:szCs w:val="22"/>
        </w:rPr>
        <w:t xml:space="preserve">Sistema de mantenimiento predictivo integrado con alertas automáticas.</w:t>
      </w:r>
    </w:p>
    <w:p>
      <w:pPr>
        <w:spacing w:after="80" w:before="80"/>
      </w:pPr>
      <w:r>
        <w:t xml:space="preserve"/>
      </w:r>
    </w:p>
    <w:p>
      <w:pPr>
        <w:pStyle w:val="Heading2"/>
        <w:spacing w:after="120" w:before="240"/>
      </w:pPr>
      <w:r>
        <w:rPr>
          <w:rFonts w:ascii="Arial" w:cs="Arial" w:eastAsia="Arial" w:hAnsi="Arial"/>
          <w:b/>
          <w:bCs/>
          <w:color w:val="1A6BAF"/>
          <w:sz w:val="26"/>
          <w:szCs w:val="26"/>
        </w:rPr>
        <w:t xml:space="preserve">5.3 Económicos</w:t>
      </w:r>
    </w:p>
    <w:p>
      <w:pPr>
        <w:pStyle w:val="ListParagraph"/>
        <w:numPr>
          <w:ilvl w:val="0"/>
          <w:numId w:val="2"/>
        </w:numPr>
        <w:spacing w:after="60" w:before="60"/>
      </w:pPr>
      <w:r>
        <w:rPr>
          <w:rFonts w:ascii="Arial" w:cs="Arial" w:eastAsia="Arial" w:hAnsi="Arial"/>
          <w:sz w:val="22"/>
          <w:szCs w:val="22"/>
        </w:rPr>
        <w:t xml:space="preserve">Reducción de costes operativos en suministro de agua de hasta un 70% anual.</w:t>
      </w:r>
    </w:p>
    <w:p>
      <w:pPr>
        <w:pStyle w:val="ListParagraph"/>
        <w:numPr>
          <w:ilvl w:val="0"/>
          <w:numId w:val="2"/>
        </w:numPr>
        <w:spacing w:after="60" w:before="60"/>
      </w:pPr>
      <w:r>
        <w:rPr>
          <w:rFonts w:ascii="Arial" w:cs="Arial" w:eastAsia="Arial" w:hAnsi="Arial"/>
          <w:sz w:val="22"/>
          <w:szCs w:val="22"/>
        </w:rPr>
        <w:t xml:space="preserve">Menor gasto en tratamiento y depuración de aguas residuales.</w:t>
      </w:r>
    </w:p>
    <w:p>
      <w:pPr>
        <w:pStyle w:val="ListParagraph"/>
        <w:numPr>
          <w:ilvl w:val="0"/>
          <w:numId w:val="2"/>
        </w:numPr>
        <w:spacing w:after="60" w:before="60"/>
      </w:pPr>
      <w:r>
        <w:rPr>
          <w:rFonts w:ascii="Arial" w:cs="Arial" w:eastAsia="Arial" w:hAnsi="Arial"/>
          <w:sz w:val="22"/>
          <w:szCs w:val="22"/>
        </w:rPr>
        <w:t xml:space="preserve">Subvenciones y beneficios fiscales aplicables por uso de tecnología verde.</w:t>
      </w:r>
    </w:p>
    <w:p>
      <w:pPr>
        <w:spacing w:after="80" w:before="80"/>
      </w:pPr>
      <w:r>
        <w:t xml:space="preserve"/>
      </w:r>
    </w:p>
    <w:p>
      <w:pPr>
        <w:pStyle w:val="Heading1"/>
        <w:spacing w:after="160" w:before="320"/>
      </w:pPr>
      <w:r>
        <w:rPr>
          <w:rFonts w:ascii="Arial" w:cs="Arial" w:eastAsia="Arial" w:hAnsi="Arial"/>
          <w:b/>
          <w:bCs/>
          <w:color w:val="0B3D91"/>
          <w:sz w:val="32"/>
          <w:szCs w:val="32"/>
        </w:rPr>
        <w:t xml:space="preserve">6. Especificaciones Técnicas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000"/>
        <w:gridCol w:w="5026"/>
      </w:tblGrid>
      <w:tr>
        <w:tc>
          <w:tcPr>
            <w:tcW w:type="dxa" w:w="4000"/>
            <w:tcBorders>
              <w:top w:val="single" w:color="CCCCCC" w:sz="1"/>
              <w:left w:val="single" w:color="CCCCCC" w:sz="1"/>
              <w:bottom w:val="single" w:color="CCCCCC" w:sz="1"/>
              <w:right w:val="single" w:color="CCCCCC" w:sz="1"/>
            </w:tcBorders>
            <w:shd w:fill="0B3D91" w:val="clear"/>
            <w:tcMar>
              <w:top w:type="dxa" w:w="120"/>
              <w:left w:type="dxa" w:w="160"/>
              <w:bottom w:type="dxa" w:w="120"/>
              <w:right w:type="dxa" w:w="160"/>
            </w:tcMar>
          </w:tcPr>
          <w:p>
            <w:r>
              <w:rPr>
                <w:rFonts w:ascii="Arial" w:cs="Arial" w:eastAsia="Arial" w:hAnsi="Arial"/>
                <w:b/>
                <w:bCs/>
                <w:color w:val="FFFFFF"/>
                <w:sz w:val="22"/>
                <w:szCs w:val="22"/>
              </w:rPr>
              <w:t xml:space="preserve">Especificación</w:t>
            </w:r>
          </w:p>
        </w:tc>
        <w:tc>
          <w:tcPr>
            <w:tcW w:type="dxa" w:w="5026"/>
            <w:tcBorders>
              <w:top w:val="single" w:color="CCCCCC" w:sz="1"/>
              <w:left w:val="single" w:color="CCCCCC" w:sz="1"/>
              <w:bottom w:val="single" w:color="CCCCCC" w:sz="1"/>
              <w:right w:val="single" w:color="CCCCCC" w:sz="1"/>
            </w:tcBorders>
            <w:shd w:fill="0B3D91" w:val="clear"/>
            <w:tcMar>
              <w:top w:type="dxa" w:w="120"/>
              <w:left w:type="dxa" w:w="160"/>
              <w:bottom w:type="dxa" w:w="120"/>
              <w:right w:type="dxa" w:w="160"/>
            </w:tcMar>
          </w:tcPr>
          <w:p>
            <w:r>
              <w:rPr>
                <w:rFonts w:ascii="Arial" w:cs="Arial" w:eastAsia="Arial" w:hAnsi="Arial"/>
                <w:b/>
                <w:bCs/>
                <w:color w:val="FFFFFF"/>
                <w:sz w:val="22"/>
                <w:szCs w:val="22"/>
              </w:rPr>
              <w:t xml:space="preserve">Valor</w:t>
            </w:r>
          </w:p>
        </w:tc>
      </w:tr>
      <w:tr>
        <w:tc>
          <w:tcPr>
            <w:tcW w:type="dxa" w:w="400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b/>
                <w:bCs/>
                <w:sz w:val="20"/>
                <w:szCs w:val="20"/>
              </w:rPr>
              <w:t xml:space="preserve">Modelo</w:t>
            </w:r>
          </w:p>
        </w:tc>
        <w:tc>
          <w:tcPr>
            <w:tcW w:type="dxa" w:w="536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sz w:val="20"/>
                <w:szCs w:val="20"/>
              </w:rPr>
              <w:t xml:space="preserve">WL-CoolSystem v2.4</w:t>
            </w:r>
          </w:p>
        </w:tc>
      </w:tr>
      <w:tr>
        <w:tc>
          <w:tcPr>
            <w:tcW w:type="dxa" w:w="4000"/>
            <w:tcBorders>
              <w:top w:val="single" w:color="CCCCCC" w:sz="1"/>
              <w:left w:val="single" w:color="CCCCCC" w:sz="1"/>
              <w:bottom w:val="single" w:color="CCCCCC" w:sz="1"/>
              <w:right w:val="single" w:color="CCCCCC" w:sz="1"/>
            </w:tcBorders>
            <w:shd w:fill="FFFFFF" w:val="clear"/>
            <w:tcMar>
              <w:top w:type="dxa" w:w="100"/>
              <w:left w:type="dxa" w:w="160"/>
              <w:bottom w:type="dxa" w:w="100"/>
              <w:right w:type="dxa" w:w="160"/>
            </w:tcMar>
          </w:tcPr>
          <w:p>
            <w:r>
              <w:rPr>
                <w:rFonts w:ascii="Arial" w:cs="Arial" w:eastAsia="Arial" w:hAnsi="Arial"/>
                <w:b/>
                <w:bCs/>
                <w:sz w:val="20"/>
                <w:szCs w:val="20"/>
              </w:rPr>
              <w:t xml:space="preserve">Fluido refrigerante</w:t>
            </w:r>
          </w:p>
        </w:tc>
        <w:tc>
          <w:tcPr>
            <w:tcW w:type="dxa" w:w="5360"/>
            <w:tcBorders>
              <w:top w:val="single" w:color="CCCCCC" w:sz="1"/>
              <w:left w:val="single" w:color="CCCCCC" w:sz="1"/>
              <w:bottom w:val="single" w:color="CCCCCC" w:sz="1"/>
              <w:right w:val="single" w:color="CCCCCC" w:sz="1"/>
            </w:tcBorders>
            <w:shd w:fill="FFFFFF" w:val="clear"/>
            <w:tcMar>
              <w:top w:type="dxa" w:w="100"/>
              <w:left w:type="dxa" w:w="160"/>
              <w:bottom w:type="dxa" w:w="100"/>
              <w:right w:type="dxa" w:w="160"/>
            </w:tcMar>
          </w:tcPr>
          <w:p>
            <w:r>
              <w:rPr>
                <w:rFonts w:ascii="Arial" w:cs="Arial" w:eastAsia="Arial" w:hAnsi="Arial"/>
                <w:sz w:val="20"/>
                <w:szCs w:val="20"/>
              </w:rPr>
              <w:t xml:space="preserve">WL-7 Dieléctrico (propiedad WEB LEANS)</w:t>
            </w:r>
          </w:p>
        </w:tc>
      </w:tr>
      <w:tr>
        <w:tc>
          <w:tcPr>
            <w:tcW w:type="dxa" w:w="400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b/>
                <w:bCs/>
                <w:sz w:val="20"/>
                <w:szCs w:val="20"/>
              </w:rPr>
              <w:t xml:space="preserve">Reducción hídrica</w:t>
            </w:r>
          </w:p>
        </w:tc>
        <w:tc>
          <w:tcPr>
            <w:tcW w:type="dxa" w:w="536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sz w:val="20"/>
                <w:szCs w:val="20"/>
              </w:rPr>
              <w:t xml:space="preserve">75% respecto a sistemas convencionales</w:t>
            </w:r>
          </w:p>
        </w:tc>
      </w:tr>
      <w:tr>
        <w:tc>
          <w:tcPr>
            <w:tcW w:type="dxa" w:w="4000"/>
            <w:tcBorders>
              <w:top w:val="single" w:color="CCCCCC" w:sz="1"/>
              <w:left w:val="single" w:color="CCCCCC" w:sz="1"/>
              <w:bottom w:val="single" w:color="CCCCCC" w:sz="1"/>
              <w:right w:val="single" w:color="CCCCCC" w:sz="1"/>
            </w:tcBorders>
            <w:shd w:fill="FFFFFF" w:val="clear"/>
            <w:tcMar>
              <w:top w:type="dxa" w:w="100"/>
              <w:left w:type="dxa" w:w="160"/>
              <w:bottom w:type="dxa" w:w="100"/>
              <w:right w:type="dxa" w:w="160"/>
            </w:tcMar>
          </w:tcPr>
          <w:p>
            <w:r>
              <w:rPr>
                <w:rFonts w:ascii="Arial" w:cs="Arial" w:eastAsia="Arial" w:hAnsi="Arial"/>
                <w:b/>
                <w:bCs/>
                <w:sz w:val="20"/>
                <w:szCs w:val="20"/>
              </w:rPr>
              <w:t xml:space="preserve">Temperatura máx. CPU</w:t>
            </w:r>
          </w:p>
        </w:tc>
        <w:tc>
          <w:tcPr>
            <w:tcW w:type="dxa" w:w="5360"/>
            <w:tcBorders>
              <w:top w:val="single" w:color="CCCCCC" w:sz="1"/>
              <w:left w:val="single" w:color="CCCCCC" w:sz="1"/>
              <w:bottom w:val="single" w:color="CCCCCC" w:sz="1"/>
              <w:right w:val="single" w:color="CCCCCC" w:sz="1"/>
            </w:tcBorders>
            <w:shd w:fill="FFFFFF" w:val="clear"/>
            <w:tcMar>
              <w:top w:type="dxa" w:w="100"/>
              <w:left w:type="dxa" w:w="160"/>
              <w:bottom w:type="dxa" w:w="100"/>
              <w:right w:type="dxa" w:w="160"/>
            </w:tcMar>
          </w:tcPr>
          <w:p>
            <w:r>
              <w:rPr>
                <w:rFonts w:ascii="Arial" w:cs="Arial" w:eastAsia="Arial" w:hAnsi="Arial"/>
                <w:sz w:val="20"/>
                <w:szCs w:val="20"/>
              </w:rPr>
              <w:t xml:space="preserve">22°C en condiciones de carga completa</w:t>
            </w:r>
          </w:p>
        </w:tc>
      </w:tr>
      <w:tr>
        <w:tc>
          <w:tcPr>
            <w:tcW w:type="dxa" w:w="400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b/>
                <w:bCs/>
                <w:sz w:val="20"/>
                <w:szCs w:val="20"/>
              </w:rPr>
              <w:t xml:space="preserve">Caudal del circuito</w:t>
            </w:r>
          </w:p>
        </w:tc>
        <w:tc>
          <w:tcPr>
            <w:tcW w:type="dxa" w:w="536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sz w:val="20"/>
                <w:szCs w:val="20"/>
              </w:rPr>
              <w:t xml:space="preserve">4,2 L/min por nodo de servidor</w:t>
            </w:r>
          </w:p>
        </w:tc>
      </w:tr>
      <w:tr>
        <w:tc>
          <w:tcPr>
            <w:tcW w:type="dxa" w:w="4000"/>
            <w:tcBorders>
              <w:top w:val="single" w:color="CCCCCC" w:sz="1"/>
              <w:left w:val="single" w:color="CCCCCC" w:sz="1"/>
              <w:bottom w:val="single" w:color="CCCCCC" w:sz="1"/>
              <w:right w:val="single" w:color="CCCCCC" w:sz="1"/>
            </w:tcBorders>
            <w:shd w:fill="FFFFFF" w:val="clear"/>
            <w:tcMar>
              <w:top w:type="dxa" w:w="100"/>
              <w:left w:type="dxa" w:w="160"/>
              <w:bottom w:type="dxa" w:w="100"/>
              <w:right w:type="dxa" w:w="160"/>
            </w:tcMar>
          </w:tcPr>
          <w:p>
            <w:r>
              <w:rPr>
                <w:rFonts w:ascii="Arial" w:cs="Arial" w:eastAsia="Arial" w:hAnsi="Arial"/>
                <w:b/>
                <w:bCs/>
                <w:sz w:val="20"/>
                <w:szCs w:val="20"/>
              </w:rPr>
              <w:t xml:space="preserve">Presión del sistema</w:t>
            </w:r>
          </w:p>
        </w:tc>
        <w:tc>
          <w:tcPr>
            <w:tcW w:type="dxa" w:w="5360"/>
            <w:tcBorders>
              <w:top w:val="single" w:color="CCCCCC" w:sz="1"/>
              <w:left w:val="single" w:color="CCCCCC" w:sz="1"/>
              <w:bottom w:val="single" w:color="CCCCCC" w:sz="1"/>
              <w:right w:val="single" w:color="CCCCCC" w:sz="1"/>
            </w:tcBorders>
            <w:shd w:fill="FFFFFF" w:val="clear"/>
            <w:tcMar>
              <w:top w:type="dxa" w:w="100"/>
              <w:left w:type="dxa" w:w="160"/>
              <w:bottom w:type="dxa" w:w="100"/>
              <w:right w:type="dxa" w:w="160"/>
            </w:tcMar>
          </w:tcPr>
          <w:p>
            <w:r>
              <w:rPr>
                <w:rFonts w:ascii="Arial" w:cs="Arial" w:eastAsia="Arial" w:hAnsi="Arial"/>
                <w:sz w:val="20"/>
                <w:szCs w:val="20"/>
              </w:rPr>
              <w:t xml:space="preserve">1,8 bar (circuito cerrado)</w:t>
            </w:r>
          </w:p>
        </w:tc>
      </w:tr>
      <w:tr>
        <w:tc>
          <w:tcPr>
            <w:tcW w:type="dxa" w:w="400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b/>
                <w:bCs/>
                <w:sz w:val="20"/>
                <w:szCs w:val="20"/>
              </w:rPr>
              <w:t xml:space="preserve">Vida útil estimada</w:t>
            </w:r>
          </w:p>
        </w:tc>
        <w:tc>
          <w:tcPr>
            <w:tcW w:type="dxa" w:w="5360"/>
            <w:tcBorders>
              <w:top w:val="single" w:color="CCCCCC" w:sz="1"/>
              <w:left w:val="single" w:color="CCCCCC" w:sz="1"/>
              <w:bottom w:val="single" w:color="CCCCCC" w:sz="1"/>
              <w:right w:val="single" w:color="CCCCCC" w:sz="1"/>
            </w:tcBorders>
            <w:shd w:fill="EAF2FB" w:val="clear"/>
            <w:tcMar>
              <w:top w:type="dxa" w:w="100"/>
              <w:left w:type="dxa" w:w="160"/>
              <w:bottom w:type="dxa" w:w="100"/>
              <w:right w:type="dxa" w:w="160"/>
            </w:tcMar>
          </w:tcPr>
          <w:p>
            <w:r>
              <w:rPr>
                <w:rFonts w:ascii="Arial" w:cs="Arial" w:eastAsia="Arial" w:hAnsi="Arial"/>
                <w:sz w:val="20"/>
                <w:szCs w:val="20"/>
              </w:rPr>
              <w:t xml:space="preserve">12 años con mantenimiento semestral</w:t>
            </w:r>
          </w:p>
        </w:tc>
      </w:tr>
      <w:tr>
        <w:tc>
          <w:tcPr>
            <w:tcW w:type="dxa" w:w="4000"/>
            <w:tcBorders>
              <w:top w:val="single" w:color="CCCCCC" w:sz="1"/>
              <w:left w:val="single" w:color="CCCCCC" w:sz="1"/>
              <w:bottom w:val="single" w:color="CCCCCC" w:sz="1"/>
              <w:right w:val="single" w:color="CCCCCC" w:sz="1"/>
            </w:tcBorders>
            <w:shd w:fill="FFFFFF" w:val="clear"/>
            <w:tcMar>
              <w:top w:type="dxa" w:w="100"/>
              <w:left w:type="dxa" w:w="160"/>
              <w:bottom w:type="dxa" w:w="100"/>
              <w:right w:type="dxa" w:w="160"/>
            </w:tcMar>
          </w:tcPr>
          <w:p>
            <w:r>
              <w:rPr>
                <w:rFonts w:ascii="Arial" w:cs="Arial" w:eastAsia="Arial" w:hAnsi="Arial"/>
                <w:b/>
                <w:bCs/>
                <w:sz w:val="20"/>
                <w:szCs w:val="20"/>
              </w:rPr>
              <w:t xml:space="preserve">Certificación</w:t>
            </w:r>
          </w:p>
        </w:tc>
        <w:tc>
          <w:tcPr>
            <w:tcW w:type="dxa" w:w="5360"/>
            <w:tcBorders>
              <w:top w:val="single" w:color="CCCCCC" w:sz="1"/>
              <w:left w:val="single" w:color="CCCCCC" w:sz="1"/>
              <w:bottom w:val="single" w:color="CCCCCC" w:sz="1"/>
              <w:right w:val="single" w:color="CCCCCC" w:sz="1"/>
            </w:tcBorders>
            <w:shd w:fill="FFFFFF" w:val="clear"/>
            <w:tcMar>
              <w:top w:type="dxa" w:w="100"/>
              <w:left w:type="dxa" w:w="160"/>
              <w:bottom w:type="dxa" w:w="100"/>
              <w:right w:type="dxa" w:w="160"/>
            </w:tcMar>
          </w:tcPr>
          <w:p>
            <w:r>
              <w:rPr>
                <w:rFonts w:ascii="Arial" w:cs="Arial" w:eastAsia="Arial" w:hAnsi="Arial"/>
                <w:sz w:val="20"/>
                <w:szCs w:val="20"/>
              </w:rPr>
              <w:t xml:space="preserve">EN ISO 14001:2015 · Clase energética A+</w:t>
            </w:r>
          </w:p>
        </w:tc>
      </w:tr>
    </w:tbl>
    <w:p>
      <w:pPr>
        <w:spacing w:after="80" w:before="80"/>
      </w:pPr>
      <w:r>
        <w:t xml:space="preserve"/>
      </w:r>
    </w:p>
    <w:p>
      <w:pPr>
        <w:pStyle w:val="Heading1"/>
        <w:spacing w:after="160" w:before="320"/>
      </w:pPr>
      <w:r>
        <w:rPr>
          <w:rFonts w:ascii="Arial" w:cs="Arial" w:eastAsia="Arial" w:hAnsi="Arial"/>
          <w:b/>
          <w:bCs/>
          <w:color w:val="0B3D91"/>
          <w:sz w:val="32"/>
          <w:szCs w:val="32"/>
        </w:rPr>
        <w:t xml:space="preserve">7. Conclusiones</w:t>
      </w:r>
    </w:p>
    <w:p>
      <w:pPr>
        <w:spacing w:after="120" w:before="80"/>
        <w:jc w:val="both"/>
      </w:pPr>
      <w:r>
        <w:rPr>
          <w:rFonts w:ascii="Arial" w:cs="Arial" w:eastAsia="Arial" w:hAnsi="Arial"/>
          <w:sz w:val="22"/>
          <w:szCs w:val="22"/>
        </w:rPr>
        <w:t xml:space="preserve">El Sistema de Refrigeración Water Minimum representa un avance significativo en la operación sostenible de infraestructuras de inteligencia artificial. Su capacidad para reducir en un 75% el consumo hídrico sin penalizar el rendimiento computacional lo convierte en una solución única en el mercado.</w:t>
      </w:r>
    </w:p>
    <w:p>
      <w:pPr>
        <w:spacing w:after="120" w:before="80"/>
        <w:jc w:val="both"/>
      </w:pPr>
      <w:r>
        <w:rPr>
          <w:rFonts w:ascii="Arial" w:cs="Arial" w:eastAsia="Arial" w:hAnsi="Arial"/>
          <w:sz w:val="22"/>
          <w:szCs w:val="22"/>
        </w:rPr>
        <w:t xml:space="preserve">WEB LEANS, como empresa comprometida con la sociedad y con el medioambiente, entiende que la lucha contra la desinformación no puede tener un coste ambiental elevado. Por ello, la integración de este sistema en nuestra infraestructura es coherente con nuestra misión: ofrecer tecnología de valor para la sociedad de forma responsable.</w:t>
      </w:r>
    </w:p>
    <w:p>
      <w:pPr>
        <w:spacing w:after="120" w:before="80"/>
        <w:jc w:val="both"/>
      </w:pPr>
      <w:r>
        <w:rPr>
          <w:rFonts w:ascii="Arial" w:cs="Arial" w:eastAsia="Arial" w:hAnsi="Arial"/>
          <w:sz w:val="22"/>
          <w:szCs w:val="22"/>
        </w:rPr>
        <w:t xml:space="preserve">Se recomienda la extensión de esta tecnología al resto de centros de procesamiento asociados, así como el inicio de los trámites para el registro de patente internacional del sistema WL-CoolSystem.</w:t>
      </w:r>
    </w:p>
    <w:p>
      <w:pPr>
        <w:spacing w:after="8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single" w:color="CCCCCC" w:sz="1"/>
              <w:left w:val="none" w:color="FFFFFF" w:sz="0"/>
              <w:bottom w:val="none" w:color="FFFFFF" w:sz="0"/>
              <w:right w:val="none" w:color="FFFFFF" w:sz="0"/>
            </w:tcBorders>
            <w:tcMar>
              <w:top w:type="dxa" w:w="200"/>
              <w:left w:type="dxa" w:w="0"/>
              <w:bottom w:type="dxa" w:w="100"/>
              <w:right w:type="dxa" w:w="160"/>
            </w:tcMar>
          </w:tcPr>
          <w:p>
            <w:r>
              <w:rPr>
                <w:rFonts w:ascii="Arial" w:cs="Arial" w:eastAsia="Arial" w:hAnsi="Arial"/>
                <w:b/>
                <w:bCs/>
                <w:color w:val="555555"/>
                <w:sz w:val="20"/>
                <w:szCs w:val="20"/>
              </w:rPr>
              <w:t xml:space="preserve">Elaborado por:</w:t>
            </w:r>
          </w:p>
          <w:p>
            <w:pPr>
              <w:spacing w:before="200"/>
            </w:pPr>
            <w:r>
              <w:rPr>
                <w:rFonts w:ascii="Arial" w:cs="Arial" w:eastAsia="Arial" w:hAnsi="Arial"/>
                <w:b/>
                <w:bCs/>
                <w:sz w:val="22"/>
                <w:szCs w:val="22"/>
              </w:rPr>
              <w:t xml:space="preserve">Ignacio Pérez Vargas</w:t>
            </w:r>
          </w:p>
          <w:p>
            <w:r>
              <w:rPr>
                <w:rFonts w:ascii="Arial" w:cs="Arial" w:eastAsia="Arial" w:hAnsi="Arial"/>
                <w:color w:val="666666"/>
                <w:sz w:val="20"/>
                <w:szCs w:val="20"/>
              </w:rPr>
              <w:t xml:space="preserve">Dpto. de Ingeniería y Sostenibilidad</w:t>
            </w:r>
          </w:p>
          <w:p>
            <w:r>
              <w:rPr>
                <w:rFonts w:ascii="Arial" w:cs="Arial" w:eastAsia="Arial" w:hAnsi="Arial"/>
                <w:color w:val="0B3D91"/>
                <w:sz w:val="20"/>
                <w:szCs w:val="20"/>
              </w:rPr>
              <w:t xml:space="preserve">WEB LEANS</w:t>
            </w:r>
          </w:p>
        </w:tc>
        <w:tc>
          <w:tcPr>
            <w:tcW w:type="dxa" w:w="4513"/>
            <w:tcBorders>
              <w:top w:val="single" w:color="CCCCCC" w:sz="1"/>
              <w:left w:val="none" w:color="FFFFFF" w:sz="0"/>
              <w:bottom w:val="none" w:color="FFFFFF" w:sz="0"/>
              <w:right w:val="none" w:color="FFFFFF" w:sz="0"/>
            </w:tcBorders>
            <w:tcMar>
              <w:top w:type="dxa" w:w="200"/>
              <w:left w:type="dxa" w:w="160"/>
              <w:bottom w:type="dxa" w:w="100"/>
              <w:right w:type="dxa" w:w="0"/>
            </w:tcMar>
          </w:tcPr>
          <w:p>
            <w:pPr>
              <w:jc w:val="right"/>
            </w:pPr>
            <w:r>
              <w:rPr>
                <w:rFonts w:ascii="Arial" w:cs="Arial" w:eastAsia="Arial" w:hAnsi="Arial"/>
                <w:b/>
                <w:bCs/>
                <w:color w:val="555555"/>
                <w:sz w:val="20"/>
                <w:szCs w:val="20"/>
              </w:rPr>
              <w:t xml:space="preserve">Sede:</w:t>
            </w:r>
          </w:p>
          <w:p>
            <w:pPr>
              <w:spacing w:before="200"/>
              <w:jc w:val="right"/>
            </w:pPr>
            <w:r>
              <w:rPr>
                <w:rFonts w:ascii="Arial" w:cs="Arial" w:eastAsia="Arial" w:hAnsi="Arial"/>
                <w:sz w:val="20"/>
                <w:szCs w:val="20"/>
              </w:rPr>
              <w:t xml:space="preserve">Plaza de Castilla, Madrid</w:t>
            </w:r>
          </w:p>
          <w:p>
            <w:pPr>
              <w:jc w:val="right"/>
            </w:pPr>
            <w:r>
              <w:rPr>
                <w:rFonts w:ascii="Arial" w:cs="Arial" w:eastAsia="Arial" w:hAnsi="Arial"/>
                <w:color w:val="0B3D91"/>
                <w:sz w:val="20"/>
                <w:szCs w:val="20"/>
              </w:rPr>
              <w:t xml:space="preserve">webleans.com</w:t>
            </w:r>
          </w:p>
        </w:tc>
      </w:tr>
    </w:tbl>
    <w:sectPr>
      <w:headerReference w:type="default" r:id="rId7"/>
      <w:footerReference w:type="default" r:id="rId8"/>
      <w:pgSz w:w="11906" w:h="16838" w:orient="portrait"/>
      <w:pgMar w:top="1440" w:right="1440" w:bottom="1440" w:left="18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1"/>
      </w:pBdr>
      <w:spacing w:before="200"/>
      <w:jc w:val="center"/>
    </w:pPr>
    <w:r>
      <w:rPr>
        <w:rFonts w:ascii="Arial" w:cs="Arial" w:eastAsia="Arial" w:hAnsi="Arial"/>
        <w:color w:val="888888"/>
        <w:sz w:val="18"/>
        <w:szCs w:val="18"/>
      </w:rPr>
      <w:t xml:space="preserve">Informe Técnico Confidencial · WEB LEANS © 2024 · Página </w:t>
    </w:r>
    <w:fldSimple w:instr="[object Objec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CCCCC" w:sz="1"/>
      </w:pBdr>
      <w:spacing w:after="200"/>
      <w:jc w:val="right"/>
    </w:pPr>
    <w:r>
      <w:rPr>
        <w:rFonts w:ascii="Arial" w:cs="Arial" w:eastAsia="Arial" w:hAnsi="Arial"/>
        <w:color w:val="888888"/>
        <w:sz w:val="18"/>
        <w:szCs w:val="18"/>
      </w:rPr>
      <w:t xml:space="preserve">WEB LEANS · Sistema de Refrigeración Water Minimum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2026-05-14T11:28:47.895Z</dcterms:created>
  <dcterms:modified xsi:type="dcterms:W3CDTF">2026-05-14T11:28:47.895Z</dcterms:modified>
</cp:coreProperties>
</file>

<file path=docProps/custom.xml><?xml version="1.0" encoding="utf-8"?>
<Properties xmlns="http://schemas.openxmlformats.org/officeDocument/2006/custom-properties" xmlns:vt="http://schemas.openxmlformats.org/officeDocument/2006/docPropsVTypes"/>
</file>